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B5" w:rsidRDefault="000941B5" w:rsidP="005154CB">
      <w:pPr>
        <w:jc w:val="right"/>
      </w:pPr>
    </w:p>
    <w:p w:rsidR="00313C8F" w:rsidRDefault="00313C8F" w:rsidP="00313C8F">
      <w:pPr>
        <w:jc w:val="center"/>
        <w:rPr>
          <w:b/>
        </w:rPr>
      </w:pPr>
      <w:r>
        <w:rPr>
          <w:b/>
        </w:rPr>
        <w:t>Latvijas Ķirurgu asociācijas nolikums par obligāti veicamo manipulāciju minimumu beidzot rezidentūru ķirurģijā</w:t>
      </w:r>
    </w:p>
    <w:p w:rsidR="00313C8F" w:rsidRDefault="00313C8F" w:rsidP="00313C8F">
      <w:pPr>
        <w:jc w:val="center"/>
        <w:rPr>
          <w:b/>
        </w:rPr>
      </w:pPr>
    </w:p>
    <w:p w:rsidR="00313C8F" w:rsidRDefault="00313C8F" w:rsidP="00313C8F">
      <w:pPr>
        <w:spacing w:line="360" w:lineRule="auto"/>
        <w:jc w:val="both"/>
      </w:pPr>
    </w:p>
    <w:p w:rsidR="00313C8F" w:rsidRDefault="00313C8F" w:rsidP="00313C8F">
      <w:pPr>
        <w:spacing w:line="360" w:lineRule="auto"/>
        <w:jc w:val="both"/>
      </w:pPr>
      <w:r>
        <w:t>Nolikums izstrādāts ņemot vērā sekojošo:</w:t>
      </w:r>
    </w:p>
    <w:p w:rsidR="00313C8F" w:rsidRDefault="00313C8F" w:rsidP="00313C8F">
      <w:pPr>
        <w:pStyle w:val="ListParagraph"/>
        <w:numPr>
          <w:ilvl w:val="0"/>
          <w:numId w:val="3"/>
        </w:num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Rezidentūras programma </w:t>
      </w:r>
      <w:r w:rsidRPr="00313C8F">
        <w:rPr>
          <w:lang w:val="lv-LV"/>
        </w:rPr>
        <w:t xml:space="preserve">var </w:t>
      </w:r>
      <w:r>
        <w:rPr>
          <w:lang w:val="lv-LV"/>
        </w:rPr>
        <w:t>tikt realizēta</w:t>
      </w:r>
      <w:r w:rsidRPr="00313C8F">
        <w:rPr>
          <w:lang w:val="lv-LV"/>
        </w:rPr>
        <w:t xml:space="preserve"> nodaļās</w:t>
      </w:r>
      <w:r>
        <w:rPr>
          <w:lang w:val="lv-LV"/>
        </w:rPr>
        <w:t xml:space="preserve"> ar dažādu operatīvu aktivitāti un specializāciju, tādēļ pastāvīgi veikto un asistēto</w:t>
      </w:r>
      <w:r w:rsidRPr="00313C8F">
        <w:rPr>
          <w:lang w:val="lv-LV"/>
        </w:rPr>
        <w:t xml:space="preserve"> operāciju skaits var atšķirties.</w:t>
      </w:r>
    </w:p>
    <w:p w:rsidR="00313C8F" w:rsidRDefault="00313C8F" w:rsidP="00313C8F">
      <w:pPr>
        <w:pStyle w:val="ListParagraph"/>
        <w:numPr>
          <w:ilvl w:val="0"/>
          <w:numId w:val="3"/>
        </w:num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Tikai patstāvīgi veikto operāciju minimuma definēšana </w:t>
      </w:r>
      <w:r w:rsidRPr="00313C8F">
        <w:rPr>
          <w:lang w:val="lv-LV"/>
        </w:rPr>
        <w:t xml:space="preserve">objektīvi neatspoguļo rezidenta darbu </w:t>
      </w:r>
      <w:r>
        <w:rPr>
          <w:lang w:val="lv-LV"/>
        </w:rPr>
        <w:t xml:space="preserve">visas </w:t>
      </w:r>
      <w:r w:rsidRPr="00313C8F">
        <w:rPr>
          <w:lang w:val="lv-LV"/>
        </w:rPr>
        <w:t>rezidentūras laikā</w:t>
      </w:r>
      <w:r>
        <w:rPr>
          <w:lang w:val="lv-LV"/>
        </w:rPr>
        <w:t>,</w:t>
      </w:r>
      <w:r w:rsidRPr="00313C8F">
        <w:rPr>
          <w:lang w:val="lv-LV"/>
        </w:rPr>
        <w:t xml:space="preserve"> jo</w:t>
      </w:r>
      <w:r>
        <w:rPr>
          <w:lang w:val="lv-LV"/>
        </w:rPr>
        <w:t xml:space="preserve"> netiek ņemts vērā viss veikto/asistēto ķirurģisko operāciju/manipulāciju spektrs. </w:t>
      </w:r>
    </w:p>
    <w:p w:rsidR="00313C8F" w:rsidRDefault="00313C8F" w:rsidP="00313C8F">
      <w:pPr>
        <w:spacing w:line="360" w:lineRule="auto"/>
        <w:jc w:val="both"/>
      </w:pPr>
      <w:r w:rsidRPr="00313C8F">
        <w:t>Lai objektīvāk atspoguļot</w:t>
      </w:r>
      <w:r>
        <w:t>u</w:t>
      </w:r>
      <w:r w:rsidRPr="00313C8F">
        <w:t xml:space="preserve"> rezidenta darbu un uzlabotu apmācību rezidentūras laikā, kā arī motivētu rezidentus vairāk piedalīties operācijās, </w:t>
      </w:r>
      <w:r>
        <w:t>Latvijas Ķirurgu asociācija ķirurģis</w:t>
      </w:r>
      <w:r w:rsidR="0021470E">
        <w:t>kās aktivitātes izvērtēšanai pār</w:t>
      </w:r>
      <w:r>
        <w:t>iet uz punktu sistēmu, lūdzu skatīt tabulu</w:t>
      </w:r>
      <w:r w:rsidR="0021470E">
        <w:t xml:space="preserve"> zemāk</w:t>
      </w:r>
      <w:r>
        <w:t xml:space="preserve">.  Punktu sistēma balstās uz punktu sistēmas </w:t>
      </w:r>
      <w:r w:rsidRPr="00DE411D">
        <w:t>EBSQ Examinations in General Surgery</w:t>
      </w:r>
      <w:r>
        <w:t xml:space="preserve">, </w:t>
      </w:r>
      <w:r w:rsidRPr="003C3D09">
        <w:t>Fellow of the European Board of Surgery (F.E.B.S.)</w:t>
      </w:r>
      <w:r>
        <w:t xml:space="preserve"> sertifikācijas sistēmu. (</w:t>
      </w:r>
      <w:hyperlink r:id="rId8" w:history="1">
        <w:r w:rsidRPr="00EB7E8B">
          <w:rPr>
            <w:rStyle w:val="Hyperlink"/>
          </w:rPr>
          <w:t>https://uemssurg.org/divisions/general-surgery/ebsq-examination</w:t>
        </w:r>
      </w:hyperlink>
      <w:r>
        <w:t xml:space="preserve">). Punktu sistēma </w:t>
      </w:r>
      <w:r w:rsidR="0021470E">
        <w:t>motivē</w:t>
      </w:r>
      <w:r>
        <w:t xml:space="preserve"> rezidentu krāt punktus arī par asistēšanu, tādējādi stimulējot palielināt operāciju dažādību rezidentūras laikā. Punktu sistēma objektīvāk atspoguļo rezidenta ķirurģisko darbu un aktivitāti. </w:t>
      </w:r>
    </w:p>
    <w:p w:rsidR="00313C8F" w:rsidRDefault="00313C8F" w:rsidP="00313C8F">
      <w:pPr>
        <w:spacing w:line="360" w:lineRule="auto"/>
        <w:jc w:val="both"/>
      </w:pPr>
    </w:p>
    <w:p w:rsidR="00313C8F" w:rsidRPr="00C6499B" w:rsidRDefault="00313C8F" w:rsidP="00313C8F">
      <w:pPr>
        <w:spacing w:line="360" w:lineRule="auto"/>
        <w:jc w:val="both"/>
        <w:rPr>
          <w:u w:val="single"/>
        </w:rPr>
      </w:pPr>
      <w:r>
        <w:rPr>
          <w:u w:val="single"/>
        </w:rPr>
        <w:t>Punktu uzskaites princips</w:t>
      </w:r>
      <w:r w:rsidRPr="00C6499B">
        <w:rPr>
          <w:u w:val="single"/>
        </w:rPr>
        <w:t>:</w:t>
      </w:r>
    </w:p>
    <w:p w:rsidR="00313C8F" w:rsidRDefault="00313C8F" w:rsidP="00313C8F">
      <w:pPr>
        <w:spacing w:line="360" w:lineRule="auto"/>
        <w:jc w:val="both"/>
      </w:pPr>
      <w:r>
        <w:t>Patstāvīgi veikta operācija/manipulācija – 2 punkti</w:t>
      </w:r>
    </w:p>
    <w:p w:rsidR="00313C8F" w:rsidRDefault="00313C8F" w:rsidP="00313C8F">
      <w:pPr>
        <w:spacing w:line="360" w:lineRule="auto"/>
        <w:jc w:val="both"/>
      </w:pPr>
      <w:r>
        <w:t>Asistēta operācija/manipulācija (kā pirmais asistents) – 1 punkts</w:t>
      </w:r>
    </w:p>
    <w:p w:rsidR="00313C8F" w:rsidRDefault="00313C8F" w:rsidP="00313C8F">
      <w:pPr>
        <w:spacing w:line="360" w:lineRule="auto"/>
        <w:jc w:val="both"/>
      </w:pPr>
    </w:p>
    <w:p w:rsidR="00313C8F" w:rsidRPr="00313C8F" w:rsidRDefault="00313C8F" w:rsidP="00313C8F">
      <w:pPr>
        <w:spacing w:line="360" w:lineRule="auto"/>
        <w:jc w:val="both"/>
        <w:rPr>
          <w:b/>
          <w:sz w:val="24"/>
          <w:szCs w:val="24"/>
        </w:rPr>
      </w:pPr>
      <w:r w:rsidRPr="00313C8F">
        <w:rPr>
          <w:b/>
          <w:sz w:val="24"/>
          <w:szCs w:val="24"/>
        </w:rPr>
        <w:t>Kopējais minimālais punktu skaits, kas jāsavāc rezidentūras laikā ir 500 punkti.</w:t>
      </w:r>
    </w:p>
    <w:p w:rsidR="00313C8F" w:rsidRDefault="00313C8F" w:rsidP="00313C8F">
      <w:pPr>
        <w:spacing w:line="360" w:lineRule="auto"/>
        <w:jc w:val="both"/>
      </w:pPr>
    </w:p>
    <w:p w:rsidR="00313C8F" w:rsidRDefault="00313C8F" w:rsidP="00313C8F">
      <w:pPr>
        <w:spacing w:line="360" w:lineRule="auto"/>
        <w:jc w:val="both"/>
      </w:pPr>
      <w:r>
        <w:t>Minimālais operāciju skaits, kas patstāvīgi jāveic rezidentūras laikā – 125 (250 punkti).</w:t>
      </w:r>
    </w:p>
    <w:p w:rsidR="00313C8F" w:rsidRDefault="00313C8F" w:rsidP="00313C8F">
      <w:pPr>
        <w:spacing w:line="360" w:lineRule="auto"/>
        <w:jc w:val="both"/>
      </w:pPr>
    </w:p>
    <w:p w:rsidR="00313C8F" w:rsidRDefault="00313C8F" w:rsidP="00313C8F">
      <w:pPr>
        <w:spacing w:line="360" w:lineRule="auto"/>
        <w:jc w:val="both"/>
        <w:rPr>
          <w:rFonts w:cs="Calibri"/>
        </w:rPr>
      </w:pPr>
      <w:r>
        <w:t xml:space="preserve">Obligāti veicamo operāciju/manipulāciju </w:t>
      </w:r>
      <w:r>
        <w:rPr>
          <w:rFonts w:cs="Calibri"/>
        </w:rPr>
        <w:t>minimums, lūdzu skatīt tabulu zemāk.</w:t>
      </w:r>
    </w:p>
    <w:p w:rsidR="00B5133F" w:rsidRDefault="00B5133F" w:rsidP="00313C8F">
      <w:pPr>
        <w:spacing w:line="360" w:lineRule="auto"/>
        <w:jc w:val="both"/>
        <w:rPr>
          <w:rFonts w:cs="Calibri"/>
        </w:rPr>
      </w:pPr>
    </w:p>
    <w:tbl>
      <w:tblPr>
        <w:tblpPr w:leftFromText="181" w:rightFromText="181" w:vertAnchor="text" w:horzAnchor="page" w:tblpX="664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559"/>
        <w:gridCol w:w="1276"/>
        <w:gridCol w:w="1275"/>
        <w:gridCol w:w="993"/>
        <w:gridCol w:w="1877"/>
      </w:tblGrid>
      <w:tr w:rsidR="00B5133F" w:rsidRPr="00A320DC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A320DC" w:rsidRDefault="00B5133F" w:rsidP="002B5A0C">
            <w:pPr>
              <w:jc w:val="center"/>
            </w:pPr>
            <w:r>
              <w:lastRenderedPageBreak/>
              <w:t>N.p.k.</w:t>
            </w:r>
          </w:p>
        </w:tc>
        <w:tc>
          <w:tcPr>
            <w:tcW w:w="3119" w:type="dxa"/>
            <w:vAlign w:val="center"/>
          </w:tcPr>
          <w:p w:rsidR="00B5133F" w:rsidRPr="00A320DC" w:rsidRDefault="00B5133F" w:rsidP="002B5A0C">
            <w:pPr>
              <w:jc w:val="center"/>
            </w:pPr>
            <w:r w:rsidRPr="00A320DC">
              <w:t>Operācijas nosaukums</w:t>
            </w:r>
          </w:p>
        </w:tc>
        <w:tc>
          <w:tcPr>
            <w:tcW w:w="1559" w:type="dxa"/>
            <w:vAlign w:val="center"/>
          </w:tcPr>
          <w:p w:rsidR="00B5133F" w:rsidRDefault="00B5133F" w:rsidP="002B5A0C">
            <w:pPr>
              <w:jc w:val="center"/>
              <w:rPr>
                <w:rFonts w:eastAsia="Times New Roman" w:cs="Calibri"/>
                <w:color w:val="000000"/>
              </w:rPr>
            </w:pPr>
            <w:r>
              <w:t>Obligāti veicamo operāciju minimums (punkti)</w:t>
            </w:r>
          </w:p>
        </w:tc>
        <w:tc>
          <w:tcPr>
            <w:tcW w:w="1276" w:type="dxa"/>
            <w:vAlign w:val="center"/>
          </w:tcPr>
          <w:p w:rsidR="00B5133F" w:rsidRDefault="00B5133F" w:rsidP="002B5A0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Rezidenta operētas (punkti)</w:t>
            </w:r>
          </w:p>
        </w:tc>
        <w:tc>
          <w:tcPr>
            <w:tcW w:w="1275" w:type="dxa"/>
            <w:vAlign w:val="center"/>
          </w:tcPr>
          <w:p w:rsidR="00B5133F" w:rsidRPr="00A320DC" w:rsidRDefault="00B5133F" w:rsidP="002B5A0C">
            <w:pPr>
              <w:jc w:val="center"/>
            </w:pPr>
            <w:r>
              <w:t>Rezidenta asistētas (punkti)</w:t>
            </w:r>
          </w:p>
        </w:tc>
        <w:tc>
          <w:tcPr>
            <w:tcW w:w="993" w:type="dxa"/>
            <w:vAlign w:val="center"/>
          </w:tcPr>
          <w:p w:rsidR="00B5133F" w:rsidRPr="00A320DC" w:rsidRDefault="00B5133F" w:rsidP="002B5A0C">
            <w:pPr>
              <w:jc w:val="center"/>
            </w:pPr>
            <w:r>
              <w:t>Kopā punktu skaits</w:t>
            </w:r>
          </w:p>
        </w:tc>
        <w:tc>
          <w:tcPr>
            <w:tcW w:w="1877" w:type="dxa"/>
            <w:vAlign w:val="center"/>
          </w:tcPr>
          <w:p w:rsidR="00B5133F" w:rsidRPr="00B2432F" w:rsidRDefault="00B5133F" w:rsidP="002B5A0C">
            <w:pPr>
              <w:jc w:val="center"/>
              <w:rPr>
                <w:b/>
              </w:rPr>
            </w:pPr>
            <w:r w:rsidRPr="00B2432F">
              <w:rPr>
                <w:b/>
              </w:rPr>
              <w:t>Nepieciešamais</w:t>
            </w:r>
            <w:r>
              <w:rPr>
                <w:b/>
              </w:rPr>
              <w:t xml:space="preserve"> (minimālais)</w:t>
            </w:r>
          </w:p>
          <w:p w:rsidR="00B5133F" w:rsidRPr="00470509" w:rsidRDefault="00B5133F" w:rsidP="002B5A0C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B2432F">
              <w:rPr>
                <w:b/>
              </w:rPr>
              <w:t>unktu skaits</w:t>
            </w:r>
          </w:p>
        </w:tc>
      </w:tr>
      <w:tr w:rsidR="00B5133F" w:rsidRPr="00A320DC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Virspusējo audu biopsija (ādas, zemādas, limfmezglu, muskulatūras).  Ādas, zemādas audzēju izgriešana (ateroma, lipoma u.c.)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B7DCF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40</w:t>
            </w:r>
          </w:p>
        </w:tc>
      </w:tr>
      <w:tr w:rsidR="00B5133F" w:rsidRPr="00A320DC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Ķirurģiska infekcija - incīzija (furunkuls, panarīcijs, abscess, flegmona). Ekstremitāšu, pirkstu, citas, amputācijas.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B7DCF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40</w:t>
            </w:r>
          </w:p>
        </w:tc>
      </w:tr>
      <w:tr w:rsidR="00B5133F" w:rsidRPr="00A320DC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Vēdera dobuma punkcijas, laprocentēzes (ascīts, diagnostiska)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7DCF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20</w:t>
            </w:r>
          </w:p>
        </w:tc>
      </w:tr>
      <w:tr w:rsidR="00B5133F" w:rsidRPr="00A320DC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Konvencionāla un/vai laparoskopiska apendektomija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7DCF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50</w:t>
            </w:r>
          </w:p>
        </w:tc>
      </w:tr>
      <w:tr w:rsidR="00B5133F" w:rsidRPr="00A320DC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Dobā orgāna perforācijas sašūšana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7DCF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20</w:t>
            </w:r>
          </w:p>
        </w:tc>
      </w:tr>
      <w:tr w:rsidR="00B5133F" w:rsidRPr="00A320DC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Herniorāfijas (ingvinālas, ventrālas u.c.)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7DCF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50</w:t>
            </w:r>
          </w:p>
        </w:tc>
      </w:tr>
      <w:tr w:rsidR="00B5133F" w:rsidRPr="00B2432F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Gastroenteroanastomoze, enteroenteroanastomoze,  tievo zarnu rezekcijas, gastrostomija, enterostomija, kolostomija, stomas slēgšana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7DCF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30</w:t>
            </w:r>
          </w:p>
        </w:tc>
      </w:tr>
      <w:tr w:rsidR="00B5133F" w:rsidRPr="00B2432F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Distālā kuņģa rezekcija, Gastrektomija, piloroplastija, Ezofagektomija, bariatriska operācija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20</w:t>
            </w:r>
          </w:p>
        </w:tc>
      </w:tr>
      <w:tr w:rsidR="00B5133F" w:rsidRPr="00B2432F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Hemoroīdektomija, fisūras ekscīzija, polipektomija</w:t>
            </w:r>
            <w:r>
              <w:rPr>
                <w:sz w:val="18"/>
                <w:szCs w:val="18"/>
              </w:rPr>
              <w:t>, cita proktoloģija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10</w:t>
            </w:r>
          </w:p>
        </w:tc>
      </w:tr>
      <w:tr w:rsidR="00B5133F" w:rsidRPr="00B2432F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Resnās zarnas rezekcija. Taisnās zarnas rezekcija vai ekstirpācija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30</w:t>
            </w:r>
          </w:p>
        </w:tc>
      </w:tr>
      <w:tr w:rsidR="00B5133F" w:rsidRPr="00B2432F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Artēriju, vēnu operācijas (varicektomija, trombektomija, rekonstrukijcas u.c.)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20</w:t>
            </w:r>
          </w:p>
        </w:tc>
      </w:tr>
      <w:tr w:rsidR="00B5133F" w:rsidRPr="00B2432F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Laparoskopiska holecistektomija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7DCF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45</w:t>
            </w: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Konvencionāla holecistektomija, Biliodigestīva anastomoze, žultsvadu revīzija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7DCF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20</w:t>
            </w: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Liesas, aknu operācijas (trauma, rezekcija, splenektomija)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10</w:t>
            </w: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Vairogdziedzera operācijas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20</w:t>
            </w: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Pleiras punkcija, torakostomija, torakotomija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7DCF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30</w:t>
            </w: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Krūts operācijas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5</w:t>
            </w: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Traumatoloģiskas operācijas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20</w:t>
            </w: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Uroloģiskas operācijas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10</w:t>
            </w: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Ginekoloģiskas operācijas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10</w:t>
            </w: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Citas būtiskas operācijas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B5133F" w:rsidRPr="00DB7DCF" w:rsidRDefault="00B5133F" w:rsidP="002B5A0C">
            <w:pPr>
              <w:pStyle w:val="List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KOPĀ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</w:p>
        </w:tc>
      </w:tr>
      <w:tr w:rsidR="00B5133F" w:rsidRPr="00470509" w:rsidTr="002B5A0C">
        <w:trPr>
          <w:cantSplit/>
          <w:trHeight w:val="349"/>
        </w:trPr>
        <w:tc>
          <w:tcPr>
            <w:tcW w:w="817" w:type="dxa"/>
            <w:vAlign w:val="center"/>
          </w:tcPr>
          <w:p w:rsidR="00B5133F" w:rsidRPr="00DB7DCF" w:rsidRDefault="00B5133F" w:rsidP="002B5A0C">
            <w:pPr>
              <w:pStyle w:val="List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5133F" w:rsidRPr="00DB7DCF" w:rsidRDefault="00B5133F" w:rsidP="002B5A0C">
            <w:pPr>
              <w:jc w:val="center"/>
              <w:rPr>
                <w:sz w:val="18"/>
                <w:szCs w:val="18"/>
              </w:rPr>
            </w:pPr>
            <w:r w:rsidRPr="00DB7DCF">
              <w:rPr>
                <w:sz w:val="18"/>
                <w:szCs w:val="18"/>
              </w:rPr>
              <w:t>KOPĒJĀ SUMMA  (min.)</w:t>
            </w:r>
          </w:p>
        </w:tc>
        <w:tc>
          <w:tcPr>
            <w:tcW w:w="1559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  <w:r w:rsidRPr="00DB7DCF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877" w:type="dxa"/>
            <w:vAlign w:val="center"/>
          </w:tcPr>
          <w:p w:rsidR="00B5133F" w:rsidRPr="00DB7DCF" w:rsidRDefault="00B5133F" w:rsidP="002B5A0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5133F" w:rsidRDefault="00B5133F" w:rsidP="00313C8F">
      <w:pPr>
        <w:spacing w:line="360" w:lineRule="auto"/>
        <w:jc w:val="both"/>
        <w:rPr>
          <w:rFonts w:cs="Calibri"/>
        </w:rPr>
      </w:pPr>
      <w:bookmarkStart w:id="0" w:name="_GoBack"/>
      <w:bookmarkEnd w:id="0"/>
    </w:p>
    <w:sectPr w:rsidR="00B5133F" w:rsidSect="00FA742E">
      <w:headerReference w:type="default" r:id="rId9"/>
      <w:footerReference w:type="even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B0B" w:rsidRDefault="00C75B0B" w:rsidP="00933279">
      <w:r>
        <w:separator/>
      </w:r>
    </w:p>
  </w:endnote>
  <w:endnote w:type="continuationSeparator" w:id="0">
    <w:p w:rsidR="00C75B0B" w:rsidRDefault="00C75B0B" w:rsidP="0093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61" w:rsidRDefault="00751EE7">
    <w:pPr>
      <w:pStyle w:val="Footer"/>
    </w:pPr>
    <w:r>
      <w:t>Rezidenta paraksts</w:t>
    </w:r>
    <w:r>
      <w:tab/>
    </w:r>
    <w:r w:rsidR="00B5133F">
      <w:tab/>
    </w:r>
    <w:r>
      <w:t>Rezidentūras vadītāja paraksts, zīmogs</w:t>
    </w:r>
    <w:r>
      <w:ptab w:relativeTo="margin" w:alignment="right" w:leader="none"/>
    </w:r>
  </w:p>
  <w:p w:rsidR="00B74561" w:rsidRDefault="00B74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B0B" w:rsidRDefault="00C75B0B" w:rsidP="00933279">
      <w:r>
        <w:separator/>
      </w:r>
    </w:p>
  </w:footnote>
  <w:footnote w:type="continuationSeparator" w:id="0">
    <w:p w:rsidR="00C75B0B" w:rsidRDefault="00C75B0B" w:rsidP="0093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279" w:rsidRDefault="00933279" w:rsidP="00933279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5561771" wp14:editId="02CE514D">
          <wp:extent cx="552450" cy="56743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05" cy="58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3279" w:rsidRPr="00933279" w:rsidRDefault="00933279" w:rsidP="00933279">
    <w:pPr>
      <w:pStyle w:val="Header"/>
      <w:jc w:val="center"/>
      <w:rPr>
        <w:sz w:val="18"/>
      </w:rPr>
    </w:pPr>
  </w:p>
  <w:p w:rsidR="00933279" w:rsidRPr="00F71E61" w:rsidRDefault="00933279" w:rsidP="00933279">
    <w:pPr>
      <w:pStyle w:val="Header"/>
      <w:jc w:val="center"/>
      <w:rPr>
        <w:rFonts w:asciiTheme="majorHAnsi" w:hAnsiTheme="majorHAnsi"/>
        <w:sz w:val="18"/>
      </w:rPr>
    </w:pPr>
    <w:r w:rsidRPr="00F71E61">
      <w:rPr>
        <w:rFonts w:asciiTheme="majorHAnsi" w:hAnsiTheme="majorHAnsi"/>
        <w:sz w:val="18"/>
      </w:rPr>
      <w:t>Latvijas Ķirurgu Asociācija,</w:t>
    </w:r>
    <w:r w:rsidR="00571B53" w:rsidRPr="00F71E61">
      <w:rPr>
        <w:rFonts w:asciiTheme="majorHAnsi" w:hAnsiTheme="majorHAnsi"/>
        <w:sz w:val="18"/>
      </w:rPr>
      <w:t xml:space="preserve"> reģ</w:t>
    </w:r>
    <w:r w:rsidRPr="00F71E61">
      <w:rPr>
        <w:rFonts w:asciiTheme="majorHAnsi" w:hAnsiTheme="majorHAnsi"/>
        <w:sz w:val="18"/>
      </w:rPr>
      <w:t>. Nr. 40008004246,</w:t>
    </w:r>
  </w:p>
  <w:p w:rsidR="00933279" w:rsidRPr="00F71E61" w:rsidRDefault="0083374B" w:rsidP="00933279">
    <w:pPr>
      <w:pStyle w:val="Header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SEB Ba</w:t>
    </w:r>
    <w:r w:rsidR="00933279" w:rsidRPr="00F71E61">
      <w:rPr>
        <w:rFonts w:asciiTheme="majorHAnsi" w:hAnsiTheme="majorHAnsi"/>
        <w:sz w:val="18"/>
      </w:rPr>
      <w:t>nkas kods UNLALV2X Bankas Konta NR. LV09UNLA0002021469876 LVL</w:t>
    </w:r>
  </w:p>
  <w:p w:rsidR="00F71E61" w:rsidRDefault="00F71E61" w:rsidP="00933279">
    <w:pPr>
      <w:pStyle w:val="Header"/>
      <w:jc w:val="center"/>
      <w:rPr>
        <w:rFonts w:asciiTheme="majorHAnsi" w:hAnsiTheme="majorHAnsi" w:cs="Arial"/>
        <w:sz w:val="20"/>
        <w:szCs w:val="20"/>
        <w:shd w:val="clear" w:color="auto" w:fill="FFFFFF"/>
      </w:rPr>
    </w:pPr>
    <w:r w:rsidRPr="00F71E61">
      <w:rPr>
        <w:rFonts w:asciiTheme="majorHAnsi" w:hAnsiTheme="majorHAnsi" w:cs="Arial"/>
        <w:sz w:val="20"/>
        <w:szCs w:val="20"/>
        <w:shd w:val="clear" w:color="auto" w:fill="FFFFFF"/>
      </w:rPr>
      <w:t>Hipokrāta iela 2, Rīga, LV-1038</w:t>
    </w:r>
  </w:p>
  <w:p w:rsidR="00946C74" w:rsidRPr="00F71E61" w:rsidRDefault="00946C74" w:rsidP="00933279">
    <w:pPr>
      <w:pStyle w:val="Header"/>
      <w:jc w:val="center"/>
      <w:rPr>
        <w:rFonts w:asciiTheme="majorHAnsi" w:hAnsiTheme="majorHAnsi"/>
        <w:sz w:val="18"/>
      </w:rPr>
    </w:pPr>
    <w:r>
      <w:rPr>
        <w:rFonts w:asciiTheme="majorHAnsi" w:hAnsiTheme="majorHAnsi" w:cs="Arial"/>
        <w:sz w:val="20"/>
        <w:szCs w:val="20"/>
        <w:shd w:val="clear" w:color="auto" w:fill="FFFFFF"/>
      </w:rPr>
      <w:t>www.kirurgija.lv</w:t>
    </w:r>
  </w:p>
  <w:p w:rsidR="00933279" w:rsidRPr="00933279" w:rsidRDefault="00933279" w:rsidP="00933279">
    <w:pPr>
      <w:pStyle w:val="Header"/>
      <w:jc w:val="center"/>
      <w:rPr>
        <w:color w:val="9E1B34"/>
        <w:sz w:val="18"/>
        <w:u w:val="single"/>
      </w:rPr>
    </w:pPr>
    <w:r>
      <w:rPr>
        <w:color w:val="9E1B34"/>
        <w:sz w:val="18"/>
        <w:u w:val="single"/>
      </w:rPr>
      <w:tab/>
    </w:r>
    <w:r>
      <w:rPr>
        <w:color w:val="9E1B34"/>
        <w:sz w:val="1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8CE"/>
    <w:multiLevelType w:val="hybridMultilevel"/>
    <w:tmpl w:val="9A400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741D"/>
    <w:multiLevelType w:val="hybridMultilevel"/>
    <w:tmpl w:val="9146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63621"/>
    <w:multiLevelType w:val="hybridMultilevel"/>
    <w:tmpl w:val="9A400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5403"/>
    <w:multiLevelType w:val="hybridMultilevel"/>
    <w:tmpl w:val="9A400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B3281"/>
    <w:multiLevelType w:val="hybridMultilevel"/>
    <w:tmpl w:val="8B36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64C42"/>
    <w:multiLevelType w:val="hybridMultilevel"/>
    <w:tmpl w:val="9A400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6732"/>
    <w:multiLevelType w:val="hybridMultilevel"/>
    <w:tmpl w:val="9A400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D2289"/>
    <w:multiLevelType w:val="hybridMultilevel"/>
    <w:tmpl w:val="2D0A2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B53"/>
    <w:rsid w:val="00056D0D"/>
    <w:rsid w:val="0007599D"/>
    <w:rsid w:val="000941B5"/>
    <w:rsid w:val="000D1684"/>
    <w:rsid w:val="00142BB4"/>
    <w:rsid w:val="00154A85"/>
    <w:rsid w:val="0021470E"/>
    <w:rsid w:val="00297344"/>
    <w:rsid w:val="002A3AEC"/>
    <w:rsid w:val="002B5A0C"/>
    <w:rsid w:val="003102AC"/>
    <w:rsid w:val="00313C8F"/>
    <w:rsid w:val="00483F2F"/>
    <w:rsid w:val="005154CB"/>
    <w:rsid w:val="00571B53"/>
    <w:rsid w:val="005F20B2"/>
    <w:rsid w:val="00615AD1"/>
    <w:rsid w:val="006C59C7"/>
    <w:rsid w:val="00715AF1"/>
    <w:rsid w:val="00751EE7"/>
    <w:rsid w:val="007E6F9A"/>
    <w:rsid w:val="007F6EF1"/>
    <w:rsid w:val="0083374B"/>
    <w:rsid w:val="008A2451"/>
    <w:rsid w:val="00933279"/>
    <w:rsid w:val="00946C74"/>
    <w:rsid w:val="009D2009"/>
    <w:rsid w:val="00A03623"/>
    <w:rsid w:val="00A0796A"/>
    <w:rsid w:val="00AA663B"/>
    <w:rsid w:val="00B5133F"/>
    <w:rsid w:val="00B74561"/>
    <w:rsid w:val="00C75B0B"/>
    <w:rsid w:val="00C9094E"/>
    <w:rsid w:val="00C9568C"/>
    <w:rsid w:val="00DB7DCF"/>
    <w:rsid w:val="00E64AFE"/>
    <w:rsid w:val="00ED1EDD"/>
    <w:rsid w:val="00F71E61"/>
    <w:rsid w:val="00FA742E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3E26393-4D75-4030-BEE9-2289A067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2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79"/>
  </w:style>
  <w:style w:type="paragraph" w:styleId="Footer">
    <w:name w:val="footer"/>
    <w:basedOn w:val="Normal"/>
    <w:link w:val="FooterChar"/>
    <w:uiPriority w:val="99"/>
    <w:unhideWhenUsed/>
    <w:rsid w:val="009332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79"/>
  </w:style>
  <w:style w:type="paragraph" w:styleId="BalloonText">
    <w:name w:val="Balloon Text"/>
    <w:basedOn w:val="Normal"/>
    <w:link w:val="BalloonTextChar"/>
    <w:uiPriority w:val="99"/>
    <w:semiHidden/>
    <w:unhideWhenUsed/>
    <w:rsid w:val="00AA6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42E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13C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mssurg.org/divisions/general-surgery/ebsq-examin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ris\Documents\Custom%20Office%20Templates\LKA_blan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9C28-4E9B-42F2-B751-1834220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LKA_blanka</Template>
  <TotalTime>9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</dc:creator>
  <cp:lastModifiedBy>Igors Ivanovs</cp:lastModifiedBy>
  <cp:revision>6</cp:revision>
  <dcterms:created xsi:type="dcterms:W3CDTF">2019-02-19T15:01:00Z</dcterms:created>
  <dcterms:modified xsi:type="dcterms:W3CDTF">2019-02-21T10:34:00Z</dcterms:modified>
</cp:coreProperties>
</file>